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93" w:rsidRDefault="004E1A93" w:rsidP="004E1A93">
      <w:pPr>
        <w:rPr>
          <w:b/>
        </w:rPr>
      </w:pPr>
      <w:r w:rsidRPr="000C11FE">
        <w:rPr>
          <w:rStyle w:val="Heading2Char"/>
        </w:rPr>
        <w:t>FC94.17 Fire Marshal Training</w:t>
      </w:r>
      <w:r>
        <w:rPr>
          <w:b/>
        </w:rPr>
        <w:t xml:space="preserve"> – </w:t>
      </w:r>
    </w:p>
    <w:p w:rsidR="007A34FE" w:rsidRDefault="004E1A93" w:rsidP="004E1A93">
      <w:r>
        <w:t xml:space="preserve">The Clerk attended a useful training day which included a review of the law with respect to Fire Risk Assessments.  </w:t>
      </w:r>
      <w:r>
        <w:t>This raised a</w:t>
      </w:r>
      <w:r>
        <w:t xml:space="preserve"> concern that the existing fire alarm systems in the pavilion and </w:t>
      </w:r>
      <w:r>
        <w:t>layout of the youth and community building</w:t>
      </w:r>
      <w:r>
        <w:t xml:space="preserve"> may not be compliant with the requirements of the Fire Safety Order 2005 and </w:t>
      </w:r>
      <w:r w:rsidRPr="00E76A98">
        <w:rPr>
          <w:b/>
        </w:rPr>
        <w:t xml:space="preserve">it is </w:t>
      </w:r>
      <w:r>
        <w:rPr>
          <w:b/>
        </w:rPr>
        <w:t xml:space="preserve">therefore </w:t>
      </w:r>
      <w:r w:rsidRPr="00E76A98">
        <w:rPr>
          <w:b/>
        </w:rPr>
        <w:t>recommended that a suitably qualified third party be appointed to undertake a formal risk assessment</w:t>
      </w:r>
      <w:r>
        <w:t xml:space="preserve"> for each of the buildings covered by the Fire Safety Order 2005. </w:t>
      </w:r>
    </w:p>
    <w:p w:rsidR="004E1A93" w:rsidRDefault="007A34FE" w:rsidP="004E1A93">
      <w:r>
        <w:t>It is a legal requirement that a written Fire Risk Assessment is prepared and reviewed for each building covered by the Fire Safety Order 2005.  The Clerk has undertaken a provisional risk assessment but its sufficiency is uncertain as she does not have the level of training appropriate for undertaking these assessments.  A suitably qualified assessor</w:t>
      </w:r>
      <w:r w:rsidR="004E1A93">
        <w:t xml:space="preserve"> will provide reassurance that the Council is meeting its obligations under the Act and satisfying its insurance obligations.  The Fire Marshal training will equip the Clerk to undertake subsequent review s and implementation of any recommendations with the authority of the Council. (See agenda item FC94.17).</w:t>
      </w:r>
    </w:p>
    <w:p w:rsidR="007A34FE" w:rsidRDefault="004E1A93" w:rsidP="004E1A93">
      <w:r>
        <w:t xml:space="preserve">The estimated cost of each Fire Risk Assessment is £150 per building.  </w:t>
      </w:r>
    </w:p>
    <w:p w:rsidR="004E1A93" w:rsidRDefault="004E1A93" w:rsidP="004E1A93">
      <w:bookmarkStart w:id="0" w:name="_GoBack"/>
      <w:bookmarkEnd w:id="0"/>
      <w:r>
        <w:t>The buildings covered by the act are:</w:t>
      </w:r>
    </w:p>
    <w:p w:rsidR="004E1A93" w:rsidRDefault="004E1A93" w:rsidP="004E1A93">
      <w:r>
        <w:t>The Lythwood Pavilion</w:t>
      </w:r>
    </w:p>
    <w:p w:rsidR="004E1A93" w:rsidRDefault="004E1A93" w:rsidP="004E1A93">
      <w:r>
        <w:t>The Youth and Community Building</w:t>
      </w:r>
    </w:p>
    <w:p w:rsidR="004E1A93" w:rsidRPr="00E76A98" w:rsidRDefault="004E1A93" w:rsidP="004E1A93">
      <w:r>
        <w:t>The Parish Office</w:t>
      </w:r>
    </w:p>
    <w:p w:rsidR="00E9384C" w:rsidRDefault="00E9384C"/>
    <w:sectPr w:rsidR="00E93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93"/>
    <w:rsid w:val="004E1A93"/>
    <w:rsid w:val="007A34FE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9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1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9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1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dcterms:created xsi:type="dcterms:W3CDTF">2017-10-31T14:50:00Z</dcterms:created>
  <dcterms:modified xsi:type="dcterms:W3CDTF">2017-10-31T15:06:00Z</dcterms:modified>
</cp:coreProperties>
</file>